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513A19" w:rsidRDefault="00513A19"/>
    <w:p w:rsidR="00513A19" w:rsidRDefault="00513A19"/>
    <w:p w:rsidR="00513A19" w:rsidRDefault="00513A19"/>
    <w:p w:rsidR="00513A19" w:rsidRDefault="00513A19"/>
    <w:p w:rsidR="00513A19" w:rsidRDefault="00513A19"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Differentiation Strategy </w:t>
      </w:r>
    </w:p>
    <w:p w:rsidR="00513A19" w:rsidRDefault="00513A19"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513A19" w:rsidRDefault="00513A19"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Institution</w:t>
      </w:r>
    </w:p>
    <w:p w:rsidR="00513A19" w:rsidRDefault="00513A19"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513A19" w:rsidRDefault="00513A19">
      <w:pPr>
        <w:rPr>
          <w:rFonts w:asciiTheme="majorBidi" w:hAnsiTheme="majorBidi" w:cstheme="majorBidi"/>
          <w:sz w:val="24"/>
          <w:szCs w:val="24"/>
        </w:rPr>
      </w:pPr>
      <w:r>
        <w:rPr>
          <w:rFonts w:asciiTheme="majorBidi" w:hAnsiTheme="majorBidi" w:cstheme="majorBidi"/>
          <w:sz w:val="24"/>
          <w:szCs w:val="24"/>
        </w:rPr>
        <w:br w:type="page"/>
      </w:r>
    </w:p>
    <w:p w:rsidR="00513A19" w:rsidRDefault="00204274"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Differentiation Strategies </w:t>
      </w:r>
    </w:p>
    <w:tbl>
      <w:tblPr>
        <w:tblStyle w:val="TableGrid"/>
        <w:tblW w:w="9805" w:type="dxa"/>
        <w:tblLook w:val="04A0" w:firstRow="1" w:lastRow="0" w:firstColumn="1" w:lastColumn="0" w:noHBand="0" w:noVBand="1"/>
      </w:tblPr>
      <w:tblGrid>
        <w:gridCol w:w="1803"/>
        <w:gridCol w:w="1803"/>
        <w:gridCol w:w="2149"/>
        <w:gridCol w:w="1890"/>
        <w:gridCol w:w="2160"/>
      </w:tblGrid>
      <w:tr w:rsidR="00C12096" w:rsidTr="00216590">
        <w:tc>
          <w:tcPr>
            <w:tcW w:w="1803" w:type="dxa"/>
          </w:tcPr>
          <w:p w:rsidR="00C12096" w:rsidRDefault="00C1209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Strategy</w:t>
            </w:r>
          </w:p>
        </w:tc>
        <w:tc>
          <w:tcPr>
            <w:tcW w:w="1803" w:type="dxa"/>
          </w:tcPr>
          <w:p w:rsidR="00C12096" w:rsidRDefault="00C1209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Subject</w:t>
            </w:r>
          </w:p>
        </w:tc>
        <w:tc>
          <w:tcPr>
            <w:tcW w:w="2149" w:type="dxa"/>
          </w:tcPr>
          <w:p w:rsidR="00C12096" w:rsidRDefault="00C1209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How to use </w:t>
            </w:r>
          </w:p>
        </w:tc>
        <w:tc>
          <w:tcPr>
            <w:tcW w:w="1890" w:type="dxa"/>
          </w:tcPr>
          <w:p w:rsidR="00C12096" w:rsidRDefault="00C1209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Beneficiaries </w:t>
            </w:r>
          </w:p>
        </w:tc>
        <w:tc>
          <w:tcPr>
            <w:tcW w:w="2160" w:type="dxa"/>
          </w:tcPr>
          <w:p w:rsidR="00C12096" w:rsidRDefault="00C1209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Grouping </w:t>
            </w:r>
          </w:p>
        </w:tc>
      </w:tr>
      <w:tr w:rsidR="00C12096" w:rsidTr="00216590">
        <w:tc>
          <w:tcPr>
            <w:tcW w:w="1803" w:type="dxa"/>
          </w:tcPr>
          <w:p w:rsidR="00C12096" w:rsidRPr="00BB3F56" w:rsidRDefault="00C12096" w:rsidP="00513A19">
            <w:pPr>
              <w:spacing w:line="480" w:lineRule="auto"/>
              <w:jc w:val="center"/>
              <w:rPr>
                <w:rFonts w:asciiTheme="majorBidi" w:hAnsiTheme="majorBidi" w:cstheme="majorBidi"/>
              </w:rPr>
            </w:pPr>
            <w:r w:rsidRPr="00BB3F56">
              <w:rPr>
                <w:rFonts w:asciiTheme="majorBidi" w:hAnsiTheme="majorBidi" w:cstheme="majorBidi"/>
              </w:rPr>
              <w:t>Compacting Tiered Assignments</w:t>
            </w:r>
          </w:p>
        </w:tc>
        <w:tc>
          <w:tcPr>
            <w:tcW w:w="1803" w:type="dxa"/>
          </w:tcPr>
          <w:p w:rsidR="00C12096" w:rsidRPr="00BB3F56" w:rsidRDefault="00BB3F56" w:rsidP="00513A19">
            <w:pPr>
              <w:spacing w:line="480" w:lineRule="auto"/>
              <w:jc w:val="center"/>
              <w:rPr>
                <w:rFonts w:asciiTheme="majorBidi" w:hAnsiTheme="majorBidi" w:cstheme="majorBidi"/>
              </w:rPr>
            </w:pPr>
            <w:r w:rsidRPr="00BB3F56">
              <w:rPr>
                <w:rFonts w:asciiTheme="majorBidi" w:hAnsiTheme="majorBidi" w:cstheme="majorBidi"/>
              </w:rPr>
              <w:t>Reading classes</w:t>
            </w:r>
            <w:r>
              <w:rPr>
                <w:rFonts w:asciiTheme="majorBidi" w:hAnsiTheme="majorBidi" w:cstheme="majorBidi"/>
              </w:rPr>
              <w:t xml:space="preserve"> and science</w:t>
            </w:r>
            <w:r w:rsidRPr="00BB3F56">
              <w:rPr>
                <w:rFonts w:asciiTheme="majorBidi" w:hAnsiTheme="majorBidi" w:cstheme="majorBidi"/>
              </w:rPr>
              <w:t>. The strategy involves</w:t>
            </w:r>
            <w:r>
              <w:rPr>
                <w:rFonts w:asciiTheme="majorBidi" w:hAnsiTheme="majorBidi" w:cstheme="majorBidi"/>
              </w:rPr>
              <w:t xml:space="preserve"> assessing students differently depending on their ability despite being in the same class. It involves giving students </w:t>
            </w:r>
            <w:r w:rsidR="00AF04B7">
              <w:rPr>
                <w:rFonts w:asciiTheme="majorBidi" w:hAnsiTheme="majorBidi" w:cstheme="majorBidi"/>
              </w:rPr>
              <w:t>different content on the same subject to meet their specific needs.</w:t>
            </w:r>
            <w:r w:rsidRPr="00BB3F56">
              <w:rPr>
                <w:rFonts w:asciiTheme="majorBidi" w:hAnsiTheme="majorBidi" w:cstheme="majorBidi"/>
              </w:rPr>
              <w:t xml:space="preserve"> </w:t>
            </w:r>
          </w:p>
        </w:tc>
        <w:tc>
          <w:tcPr>
            <w:tcW w:w="2149" w:type="dxa"/>
          </w:tcPr>
          <w:p w:rsidR="00C12096" w:rsidRDefault="005F7905" w:rsidP="00AF04B7">
            <w:pPr>
              <w:spacing w:line="480" w:lineRule="auto"/>
              <w:rPr>
                <w:rFonts w:asciiTheme="majorBidi" w:hAnsiTheme="majorBidi" w:cstheme="majorBidi"/>
                <w:sz w:val="24"/>
                <w:szCs w:val="24"/>
              </w:rPr>
            </w:pPr>
            <w:r>
              <w:rPr>
                <w:rFonts w:asciiTheme="majorBidi" w:hAnsiTheme="majorBidi" w:cstheme="majorBidi"/>
                <w:sz w:val="24"/>
                <w:szCs w:val="24"/>
              </w:rPr>
              <w:t xml:space="preserve">The process starts by selecting a concept to be learned in class. Step two involves determining students’ readiness for the test. The next step involves creating an interesting but challenging activity. The activities are then varied based on the students’ skills. Students with higher thinking levels are then provided with harder tasks. Finally, each </w:t>
            </w:r>
            <w:r>
              <w:rPr>
                <w:rFonts w:asciiTheme="majorBidi" w:hAnsiTheme="majorBidi" w:cstheme="majorBidi"/>
                <w:sz w:val="24"/>
                <w:szCs w:val="24"/>
              </w:rPr>
              <w:lastRenderedPageBreak/>
              <w:t xml:space="preserve">student </w:t>
            </w:r>
            <w:r w:rsidR="00AC6C06">
              <w:rPr>
                <w:rFonts w:asciiTheme="majorBidi" w:hAnsiTheme="majorBidi" w:cstheme="majorBidi"/>
                <w:sz w:val="24"/>
                <w:szCs w:val="24"/>
              </w:rPr>
              <w:t xml:space="preserve">is assigned corresponding variation based on his or her level. </w:t>
            </w:r>
          </w:p>
        </w:tc>
        <w:tc>
          <w:tcPr>
            <w:tcW w:w="1890" w:type="dxa"/>
          </w:tcPr>
          <w:p w:rsidR="00C12096" w:rsidRDefault="00AC6C0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Solitary and intrapersonal learners</w:t>
            </w:r>
          </w:p>
        </w:tc>
        <w:tc>
          <w:tcPr>
            <w:tcW w:w="2160" w:type="dxa"/>
          </w:tcPr>
          <w:p w:rsidR="00C12096" w:rsidRDefault="00AC6C0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Flexible grouping </w:t>
            </w:r>
          </w:p>
        </w:tc>
      </w:tr>
      <w:tr w:rsidR="00C12096" w:rsidTr="00216590">
        <w:tc>
          <w:tcPr>
            <w:tcW w:w="1803" w:type="dxa"/>
          </w:tcPr>
          <w:p w:rsidR="00C12096" w:rsidRDefault="00223663"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Curriculum Compacting </w:t>
            </w:r>
          </w:p>
        </w:tc>
        <w:tc>
          <w:tcPr>
            <w:tcW w:w="1803" w:type="dxa"/>
          </w:tcPr>
          <w:p w:rsidR="00C12096" w:rsidRDefault="00223663"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Mathematics and sciences </w:t>
            </w:r>
          </w:p>
        </w:tc>
        <w:tc>
          <w:tcPr>
            <w:tcW w:w="2149" w:type="dxa"/>
          </w:tcPr>
          <w:p w:rsidR="00C12096" w:rsidRDefault="00615345" w:rsidP="00615345">
            <w:pPr>
              <w:spacing w:line="480" w:lineRule="auto"/>
              <w:rPr>
                <w:rFonts w:asciiTheme="majorBidi" w:hAnsiTheme="majorBidi" w:cstheme="majorBidi"/>
                <w:sz w:val="24"/>
                <w:szCs w:val="24"/>
              </w:rPr>
            </w:pPr>
            <w:r>
              <w:rPr>
                <w:rFonts w:asciiTheme="majorBidi" w:hAnsiTheme="majorBidi" w:cstheme="majorBidi"/>
                <w:sz w:val="24"/>
                <w:szCs w:val="24"/>
              </w:rPr>
              <w:t>It starts by identifying the students that require curriculum compacting</w:t>
            </w:r>
            <w:sdt>
              <w:sdtPr>
                <w:rPr>
                  <w:rFonts w:asciiTheme="majorBidi" w:hAnsiTheme="majorBidi" w:cstheme="majorBidi"/>
                  <w:sz w:val="24"/>
                  <w:szCs w:val="24"/>
                </w:rPr>
                <w:id w:val="217261102"/>
                <w:citation/>
              </w:sdtPr>
              <w:sdtContent>
                <w:r w:rsidR="00666E52">
                  <w:rPr>
                    <w:rFonts w:asciiTheme="majorBidi" w:hAnsiTheme="majorBidi" w:cstheme="majorBidi"/>
                    <w:sz w:val="24"/>
                    <w:szCs w:val="24"/>
                  </w:rPr>
                  <w:fldChar w:fldCharType="begin"/>
                </w:r>
                <w:r w:rsidR="00666E52">
                  <w:rPr>
                    <w:rFonts w:asciiTheme="majorBidi" w:hAnsiTheme="majorBidi" w:cstheme="majorBidi"/>
                    <w:sz w:val="24"/>
                    <w:szCs w:val="24"/>
                  </w:rPr>
                  <w:instrText xml:space="preserve"> CITATION Sou16 \l 1033 </w:instrText>
                </w:r>
                <w:r w:rsidR="00666E52">
                  <w:rPr>
                    <w:rFonts w:asciiTheme="majorBidi" w:hAnsiTheme="majorBidi" w:cstheme="majorBidi"/>
                    <w:sz w:val="24"/>
                    <w:szCs w:val="24"/>
                  </w:rPr>
                  <w:fldChar w:fldCharType="separate"/>
                </w:r>
                <w:r w:rsidR="00666E52">
                  <w:rPr>
                    <w:rFonts w:asciiTheme="majorBidi" w:hAnsiTheme="majorBidi" w:cstheme="majorBidi"/>
                    <w:noProof/>
                    <w:sz w:val="24"/>
                    <w:szCs w:val="24"/>
                  </w:rPr>
                  <w:t xml:space="preserve"> </w:t>
                </w:r>
                <w:r w:rsidR="00666E52" w:rsidRPr="00666E52">
                  <w:rPr>
                    <w:rFonts w:asciiTheme="majorBidi" w:hAnsiTheme="majorBidi" w:cstheme="majorBidi"/>
                    <w:noProof/>
                    <w:sz w:val="24"/>
                    <w:szCs w:val="24"/>
                  </w:rPr>
                  <w:t>(Souto-Manning, Mariana, &amp; Martell., 2016)</w:t>
                </w:r>
                <w:r w:rsidR="00666E52">
                  <w:rPr>
                    <w:rFonts w:asciiTheme="majorBidi" w:hAnsiTheme="majorBidi" w:cstheme="majorBidi"/>
                    <w:sz w:val="24"/>
                    <w:szCs w:val="24"/>
                  </w:rPr>
                  <w:fldChar w:fldCharType="end"/>
                </w:r>
              </w:sdtContent>
            </w:sdt>
            <w:r>
              <w:rPr>
                <w:rFonts w:asciiTheme="majorBidi" w:hAnsiTheme="majorBidi" w:cstheme="majorBidi"/>
                <w:sz w:val="24"/>
                <w:szCs w:val="24"/>
              </w:rPr>
              <w:t>. The identification process involves administering unit tests to establish the student’s thinking level.</w:t>
            </w:r>
            <w:r w:rsidR="0028203F">
              <w:rPr>
                <w:rFonts w:asciiTheme="majorBidi" w:hAnsiTheme="majorBidi" w:cstheme="majorBidi"/>
                <w:sz w:val="24"/>
                <w:szCs w:val="24"/>
              </w:rPr>
              <w:t xml:space="preserve"> A student that meets all the requirements are then placed through the process to enhance his or her learning. </w:t>
            </w:r>
          </w:p>
        </w:tc>
        <w:tc>
          <w:tcPr>
            <w:tcW w:w="1890" w:type="dxa"/>
          </w:tcPr>
          <w:p w:rsidR="00C12096" w:rsidRDefault="00223663"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First learners </w:t>
            </w:r>
          </w:p>
        </w:tc>
        <w:tc>
          <w:tcPr>
            <w:tcW w:w="2160" w:type="dxa"/>
          </w:tcPr>
          <w:p w:rsidR="00C12096" w:rsidRDefault="00223663"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Small groups </w:t>
            </w:r>
          </w:p>
        </w:tc>
      </w:tr>
      <w:tr w:rsidR="00C12096" w:rsidTr="00216590">
        <w:tc>
          <w:tcPr>
            <w:tcW w:w="1803" w:type="dxa"/>
          </w:tcPr>
          <w:p w:rsidR="00C12096" w:rsidRDefault="0028203F"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Acceleration </w:t>
            </w:r>
          </w:p>
        </w:tc>
        <w:tc>
          <w:tcPr>
            <w:tcW w:w="1803" w:type="dxa"/>
          </w:tcPr>
          <w:p w:rsidR="00C12096" w:rsidRDefault="00C17503"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All subjects</w:t>
            </w:r>
          </w:p>
        </w:tc>
        <w:tc>
          <w:tcPr>
            <w:tcW w:w="2149" w:type="dxa"/>
          </w:tcPr>
          <w:p w:rsidR="00C12096" w:rsidRDefault="00C17503" w:rsidP="00C17503">
            <w:pPr>
              <w:spacing w:line="480" w:lineRule="auto"/>
              <w:rPr>
                <w:rFonts w:asciiTheme="majorBidi" w:hAnsiTheme="majorBidi" w:cstheme="majorBidi"/>
                <w:sz w:val="24"/>
                <w:szCs w:val="24"/>
              </w:rPr>
            </w:pPr>
            <w:r>
              <w:rPr>
                <w:rFonts w:asciiTheme="majorBidi" w:hAnsiTheme="majorBidi" w:cstheme="majorBidi"/>
                <w:sz w:val="24"/>
                <w:szCs w:val="24"/>
              </w:rPr>
              <w:t xml:space="preserve">Acceleration as strategy is used on </w:t>
            </w:r>
            <w:r>
              <w:rPr>
                <w:rFonts w:asciiTheme="majorBidi" w:hAnsiTheme="majorBidi" w:cstheme="majorBidi"/>
                <w:sz w:val="24"/>
                <w:szCs w:val="24"/>
              </w:rPr>
              <w:lastRenderedPageBreak/>
              <w:t>slow students. It is designed to help the students catch up with their colleagues. The process involves using supplementary programs and techniques to help them catch up</w:t>
            </w:r>
            <w:sdt>
              <w:sdtPr>
                <w:rPr>
                  <w:rFonts w:asciiTheme="majorBidi" w:hAnsiTheme="majorBidi" w:cstheme="majorBidi"/>
                  <w:sz w:val="24"/>
                  <w:szCs w:val="24"/>
                </w:rPr>
                <w:id w:val="-117832009"/>
                <w:citation/>
              </w:sdtPr>
              <w:sdtContent>
                <w:r w:rsidR="00666E52">
                  <w:rPr>
                    <w:rFonts w:asciiTheme="majorBidi" w:hAnsiTheme="majorBidi" w:cstheme="majorBidi"/>
                    <w:sz w:val="24"/>
                    <w:szCs w:val="24"/>
                  </w:rPr>
                  <w:fldChar w:fldCharType="begin"/>
                </w:r>
                <w:r w:rsidR="00666E52">
                  <w:rPr>
                    <w:rFonts w:asciiTheme="majorBidi" w:hAnsiTheme="majorBidi" w:cstheme="majorBidi"/>
                    <w:sz w:val="24"/>
                    <w:szCs w:val="24"/>
                  </w:rPr>
                  <w:instrText xml:space="preserve"> CITATION Wes18 \l 1033 </w:instrText>
                </w:r>
                <w:r w:rsidR="00666E52">
                  <w:rPr>
                    <w:rFonts w:asciiTheme="majorBidi" w:hAnsiTheme="majorBidi" w:cstheme="majorBidi"/>
                    <w:sz w:val="24"/>
                    <w:szCs w:val="24"/>
                  </w:rPr>
                  <w:fldChar w:fldCharType="separate"/>
                </w:r>
                <w:r w:rsidR="00666E52">
                  <w:rPr>
                    <w:rFonts w:asciiTheme="majorBidi" w:hAnsiTheme="majorBidi" w:cstheme="majorBidi"/>
                    <w:noProof/>
                    <w:sz w:val="24"/>
                    <w:szCs w:val="24"/>
                  </w:rPr>
                  <w:t xml:space="preserve"> </w:t>
                </w:r>
                <w:r w:rsidR="00666E52" w:rsidRPr="00666E52">
                  <w:rPr>
                    <w:rFonts w:asciiTheme="majorBidi" w:hAnsiTheme="majorBidi" w:cstheme="majorBidi"/>
                    <w:noProof/>
                    <w:sz w:val="24"/>
                    <w:szCs w:val="24"/>
                  </w:rPr>
                  <w:t>(Westwood, 2018)</w:t>
                </w:r>
                <w:r w:rsidR="00666E52">
                  <w:rPr>
                    <w:rFonts w:asciiTheme="majorBidi" w:hAnsiTheme="majorBidi" w:cstheme="majorBidi"/>
                    <w:sz w:val="24"/>
                    <w:szCs w:val="24"/>
                  </w:rPr>
                  <w:fldChar w:fldCharType="end"/>
                </w:r>
              </w:sdtContent>
            </w:sdt>
            <w:r>
              <w:rPr>
                <w:rFonts w:asciiTheme="majorBidi" w:hAnsiTheme="majorBidi" w:cstheme="majorBidi"/>
                <w:sz w:val="24"/>
                <w:szCs w:val="24"/>
              </w:rPr>
              <w:t xml:space="preserve">. For example, the students can be provided with an extra tuition to help them catch up. </w:t>
            </w:r>
          </w:p>
        </w:tc>
        <w:tc>
          <w:tcPr>
            <w:tcW w:w="1890" w:type="dxa"/>
          </w:tcPr>
          <w:p w:rsidR="00C12096" w:rsidRDefault="00C17503"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Slow learners </w:t>
            </w:r>
          </w:p>
        </w:tc>
        <w:tc>
          <w:tcPr>
            <w:tcW w:w="2160" w:type="dxa"/>
          </w:tcPr>
          <w:p w:rsidR="00C12096" w:rsidRDefault="0028203F"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One-on-one</w:t>
            </w:r>
          </w:p>
        </w:tc>
      </w:tr>
      <w:tr w:rsidR="00C12096" w:rsidTr="00216590">
        <w:tc>
          <w:tcPr>
            <w:tcW w:w="1803" w:type="dxa"/>
          </w:tcPr>
          <w:p w:rsidR="00C12096" w:rsidRDefault="003E53E7"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Independent Study</w:t>
            </w:r>
          </w:p>
        </w:tc>
        <w:tc>
          <w:tcPr>
            <w:tcW w:w="1803" w:type="dxa"/>
          </w:tcPr>
          <w:p w:rsidR="00C12096" w:rsidRDefault="003E53E7"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Arts and science </w:t>
            </w:r>
          </w:p>
        </w:tc>
        <w:tc>
          <w:tcPr>
            <w:tcW w:w="2149" w:type="dxa"/>
          </w:tcPr>
          <w:p w:rsidR="00C12096" w:rsidRDefault="003E53E7"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The approach involves adopting measures that encourages students to undertake further readings. In elementary school, the approach can be </w:t>
            </w:r>
            <w:r>
              <w:rPr>
                <w:rFonts w:asciiTheme="majorBidi" w:hAnsiTheme="majorBidi" w:cstheme="majorBidi"/>
                <w:sz w:val="24"/>
                <w:szCs w:val="24"/>
              </w:rPr>
              <w:lastRenderedPageBreak/>
              <w:t>implemented by giving students assignments to undertake during their free time</w:t>
            </w:r>
            <w:sdt>
              <w:sdtPr>
                <w:rPr>
                  <w:rFonts w:asciiTheme="majorBidi" w:hAnsiTheme="majorBidi" w:cstheme="majorBidi"/>
                  <w:sz w:val="24"/>
                  <w:szCs w:val="24"/>
                </w:rPr>
                <w:id w:val="932707498"/>
                <w:citation/>
              </w:sdtPr>
              <w:sdtContent>
                <w:r w:rsidR="00666E52">
                  <w:rPr>
                    <w:rFonts w:asciiTheme="majorBidi" w:hAnsiTheme="majorBidi" w:cstheme="majorBidi"/>
                    <w:sz w:val="24"/>
                    <w:szCs w:val="24"/>
                  </w:rPr>
                  <w:fldChar w:fldCharType="begin"/>
                </w:r>
                <w:r w:rsidR="00666E52">
                  <w:rPr>
                    <w:rFonts w:asciiTheme="majorBidi" w:hAnsiTheme="majorBidi" w:cstheme="majorBidi"/>
                    <w:sz w:val="24"/>
                    <w:szCs w:val="24"/>
                  </w:rPr>
                  <w:instrText xml:space="preserve"> CITATION Sou16 \l 1033 </w:instrText>
                </w:r>
                <w:r w:rsidR="00666E52">
                  <w:rPr>
                    <w:rFonts w:asciiTheme="majorBidi" w:hAnsiTheme="majorBidi" w:cstheme="majorBidi"/>
                    <w:sz w:val="24"/>
                    <w:szCs w:val="24"/>
                  </w:rPr>
                  <w:fldChar w:fldCharType="separate"/>
                </w:r>
                <w:r w:rsidR="00666E52">
                  <w:rPr>
                    <w:rFonts w:asciiTheme="majorBidi" w:hAnsiTheme="majorBidi" w:cstheme="majorBidi"/>
                    <w:noProof/>
                    <w:sz w:val="24"/>
                    <w:szCs w:val="24"/>
                  </w:rPr>
                  <w:t xml:space="preserve"> </w:t>
                </w:r>
                <w:r w:rsidR="00666E52" w:rsidRPr="00666E52">
                  <w:rPr>
                    <w:rFonts w:asciiTheme="majorBidi" w:hAnsiTheme="majorBidi" w:cstheme="majorBidi"/>
                    <w:noProof/>
                    <w:sz w:val="24"/>
                    <w:szCs w:val="24"/>
                  </w:rPr>
                  <w:t>(Souto-Manning, Mariana, &amp; Martell., 2016)</w:t>
                </w:r>
                <w:r w:rsidR="00666E52">
                  <w:rPr>
                    <w:rFonts w:asciiTheme="majorBidi" w:hAnsiTheme="majorBidi" w:cstheme="majorBidi"/>
                    <w:sz w:val="24"/>
                    <w:szCs w:val="24"/>
                  </w:rPr>
                  <w:fldChar w:fldCharType="end"/>
                </w:r>
              </w:sdtContent>
            </w:sdt>
            <w:r>
              <w:rPr>
                <w:rFonts w:asciiTheme="majorBidi" w:hAnsiTheme="majorBidi" w:cstheme="majorBidi"/>
                <w:sz w:val="24"/>
                <w:szCs w:val="24"/>
              </w:rPr>
              <w:t xml:space="preserve">. However, the assignments has to be within the syllabus content. The teacher also provide parameters for the assignment to guide the students. </w:t>
            </w:r>
          </w:p>
        </w:tc>
        <w:tc>
          <w:tcPr>
            <w:tcW w:w="1890" w:type="dxa"/>
          </w:tcPr>
          <w:p w:rsidR="00C12096" w:rsidRDefault="003E53E7"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Gifted students</w:t>
            </w:r>
          </w:p>
        </w:tc>
        <w:tc>
          <w:tcPr>
            <w:tcW w:w="2160" w:type="dxa"/>
          </w:tcPr>
          <w:p w:rsidR="00C12096" w:rsidRDefault="003E53E7"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large groups</w:t>
            </w:r>
          </w:p>
        </w:tc>
      </w:tr>
      <w:tr w:rsidR="00C12096" w:rsidTr="00216590">
        <w:tc>
          <w:tcPr>
            <w:tcW w:w="1803" w:type="dxa"/>
          </w:tcPr>
          <w:p w:rsidR="00C12096" w:rsidRDefault="00F148E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Choice Board</w:t>
            </w:r>
          </w:p>
        </w:tc>
        <w:tc>
          <w:tcPr>
            <w:tcW w:w="1803" w:type="dxa"/>
          </w:tcPr>
          <w:p w:rsidR="00C12096" w:rsidRDefault="00F148E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Languages </w:t>
            </w:r>
          </w:p>
        </w:tc>
        <w:tc>
          <w:tcPr>
            <w:tcW w:w="2149" w:type="dxa"/>
          </w:tcPr>
          <w:p w:rsidR="00C12096" w:rsidRDefault="00F148E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Choice board is the use of graphics on square shits to enhance learning experience among students. It is one of the effective teaching </w:t>
            </w:r>
            <w:r>
              <w:rPr>
                <w:rFonts w:asciiTheme="majorBidi" w:hAnsiTheme="majorBidi" w:cstheme="majorBidi"/>
                <w:sz w:val="24"/>
                <w:szCs w:val="24"/>
              </w:rPr>
              <w:lastRenderedPageBreak/>
              <w:t xml:space="preserve">approaches in elementary schools as it incorporates audio-visual in the learning process. </w:t>
            </w:r>
            <w:r w:rsidR="00216590">
              <w:rPr>
                <w:rFonts w:asciiTheme="majorBidi" w:hAnsiTheme="majorBidi" w:cstheme="majorBidi"/>
                <w:sz w:val="24"/>
                <w:szCs w:val="24"/>
              </w:rPr>
              <w:t xml:space="preserve">Using the approach requires the teacher to prepare the boards that capture the subject in various learning styles e.g. audiovisual and kinesthetic. Learners can then chose activities they wish to undertake from the boards. The teacher then work based on the pick by the students. </w:t>
            </w:r>
          </w:p>
          <w:p w:rsidR="00216590" w:rsidRDefault="00216590" w:rsidP="00513A19">
            <w:pPr>
              <w:spacing w:line="480" w:lineRule="auto"/>
              <w:jc w:val="center"/>
              <w:rPr>
                <w:rFonts w:asciiTheme="majorBidi" w:hAnsiTheme="majorBidi" w:cstheme="majorBidi"/>
                <w:sz w:val="24"/>
                <w:szCs w:val="24"/>
              </w:rPr>
            </w:pPr>
          </w:p>
        </w:tc>
        <w:tc>
          <w:tcPr>
            <w:tcW w:w="1890" w:type="dxa"/>
          </w:tcPr>
          <w:p w:rsidR="00C12096" w:rsidRDefault="0021659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All students </w:t>
            </w:r>
          </w:p>
        </w:tc>
        <w:tc>
          <w:tcPr>
            <w:tcW w:w="2160" w:type="dxa"/>
          </w:tcPr>
          <w:p w:rsidR="00C12096" w:rsidRDefault="0021659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Small group having normal seat arrangement in class.</w:t>
            </w:r>
          </w:p>
        </w:tc>
      </w:tr>
      <w:tr w:rsidR="00C12096" w:rsidTr="00216590">
        <w:tc>
          <w:tcPr>
            <w:tcW w:w="1803" w:type="dxa"/>
          </w:tcPr>
          <w:p w:rsidR="00C12096" w:rsidRDefault="0021659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Adjusted Questions</w:t>
            </w:r>
          </w:p>
          <w:p w:rsidR="00216590" w:rsidRDefault="00216590" w:rsidP="00513A19">
            <w:pPr>
              <w:spacing w:line="480" w:lineRule="auto"/>
              <w:jc w:val="center"/>
              <w:rPr>
                <w:rFonts w:asciiTheme="majorBidi" w:hAnsiTheme="majorBidi" w:cstheme="majorBidi"/>
                <w:sz w:val="24"/>
                <w:szCs w:val="24"/>
              </w:rPr>
            </w:pPr>
          </w:p>
        </w:tc>
        <w:tc>
          <w:tcPr>
            <w:tcW w:w="1803" w:type="dxa"/>
          </w:tcPr>
          <w:p w:rsidR="00C12096" w:rsidRDefault="0031018A"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Social sciences and English </w:t>
            </w:r>
          </w:p>
        </w:tc>
        <w:tc>
          <w:tcPr>
            <w:tcW w:w="2149" w:type="dxa"/>
          </w:tcPr>
          <w:p w:rsidR="00C12096" w:rsidRDefault="00694634" w:rsidP="00F7254F">
            <w:pPr>
              <w:spacing w:line="480" w:lineRule="auto"/>
              <w:rPr>
                <w:rFonts w:asciiTheme="majorBidi" w:hAnsiTheme="majorBidi" w:cstheme="majorBidi"/>
                <w:sz w:val="24"/>
                <w:szCs w:val="24"/>
              </w:rPr>
            </w:pPr>
            <w:r>
              <w:rPr>
                <w:rFonts w:asciiTheme="majorBidi" w:hAnsiTheme="majorBidi" w:cstheme="majorBidi"/>
                <w:sz w:val="24"/>
                <w:szCs w:val="24"/>
              </w:rPr>
              <w:t xml:space="preserve">Adjusted question teaching strategy is </w:t>
            </w:r>
            <w:r>
              <w:rPr>
                <w:rFonts w:asciiTheme="majorBidi" w:hAnsiTheme="majorBidi" w:cstheme="majorBidi"/>
                <w:sz w:val="24"/>
                <w:szCs w:val="24"/>
              </w:rPr>
              <w:lastRenderedPageBreak/>
              <w:t>where a teacher uses effective questioning to differentiate instructions in the classroom. The teacher arrange the questions based on Bloom’s taxonomy starting from simple to complex once</w:t>
            </w:r>
            <w:sdt>
              <w:sdtPr>
                <w:rPr>
                  <w:rFonts w:asciiTheme="majorBidi" w:hAnsiTheme="majorBidi" w:cstheme="majorBidi"/>
                  <w:sz w:val="24"/>
                  <w:szCs w:val="24"/>
                </w:rPr>
                <w:id w:val="-1431351928"/>
                <w:citation/>
              </w:sdtPr>
              <w:sdtContent>
                <w:r w:rsidR="00666E52">
                  <w:rPr>
                    <w:rFonts w:asciiTheme="majorBidi" w:hAnsiTheme="majorBidi" w:cstheme="majorBidi"/>
                    <w:sz w:val="24"/>
                    <w:szCs w:val="24"/>
                  </w:rPr>
                  <w:fldChar w:fldCharType="begin"/>
                </w:r>
                <w:r w:rsidR="00666E52">
                  <w:rPr>
                    <w:rFonts w:asciiTheme="majorBidi" w:hAnsiTheme="majorBidi" w:cstheme="majorBidi"/>
                    <w:sz w:val="24"/>
                    <w:szCs w:val="24"/>
                  </w:rPr>
                  <w:instrText xml:space="preserve"> CITATION Sou16 \l 1033 </w:instrText>
                </w:r>
                <w:r w:rsidR="00666E52">
                  <w:rPr>
                    <w:rFonts w:asciiTheme="majorBidi" w:hAnsiTheme="majorBidi" w:cstheme="majorBidi"/>
                    <w:sz w:val="24"/>
                    <w:szCs w:val="24"/>
                  </w:rPr>
                  <w:fldChar w:fldCharType="separate"/>
                </w:r>
                <w:r w:rsidR="00666E52">
                  <w:rPr>
                    <w:rFonts w:asciiTheme="majorBidi" w:hAnsiTheme="majorBidi" w:cstheme="majorBidi"/>
                    <w:noProof/>
                    <w:sz w:val="24"/>
                    <w:szCs w:val="24"/>
                  </w:rPr>
                  <w:t xml:space="preserve"> </w:t>
                </w:r>
                <w:r w:rsidR="00666E52" w:rsidRPr="00666E52">
                  <w:rPr>
                    <w:rFonts w:asciiTheme="majorBidi" w:hAnsiTheme="majorBidi" w:cstheme="majorBidi"/>
                    <w:noProof/>
                    <w:sz w:val="24"/>
                    <w:szCs w:val="24"/>
                  </w:rPr>
                  <w:t>(Souto-Manning, Mariana, &amp; Martell., 2016)</w:t>
                </w:r>
                <w:r w:rsidR="00666E52">
                  <w:rPr>
                    <w:rFonts w:asciiTheme="majorBidi" w:hAnsiTheme="majorBidi" w:cstheme="majorBidi"/>
                    <w:sz w:val="24"/>
                    <w:szCs w:val="24"/>
                  </w:rPr>
                  <w:fldChar w:fldCharType="end"/>
                </w:r>
              </w:sdtContent>
            </w:sdt>
            <w:r>
              <w:rPr>
                <w:rFonts w:asciiTheme="majorBidi" w:hAnsiTheme="majorBidi" w:cstheme="majorBidi"/>
                <w:sz w:val="24"/>
                <w:szCs w:val="24"/>
              </w:rPr>
              <w:t xml:space="preserve">. For instance, basic learners can be provided by questions </w:t>
            </w:r>
            <w:r w:rsidR="00F7254F">
              <w:rPr>
                <w:rFonts w:asciiTheme="majorBidi" w:hAnsiTheme="majorBidi" w:cstheme="majorBidi"/>
                <w:sz w:val="24"/>
                <w:szCs w:val="24"/>
              </w:rPr>
              <w:t>requiring them to “describe” whereas advanced learners can be asked to “explain why</w:t>
            </w:r>
            <w:r w:rsidR="0031018A">
              <w:rPr>
                <w:rFonts w:asciiTheme="majorBidi" w:hAnsiTheme="majorBidi" w:cstheme="majorBidi"/>
                <w:sz w:val="24"/>
                <w:szCs w:val="24"/>
              </w:rPr>
              <w:t>.</w:t>
            </w:r>
            <w:r w:rsidR="00F7254F">
              <w:rPr>
                <w:rFonts w:asciiTheme="majorBidi" w:hAnsiTheme="majorBidi" w:cstheme="majorBidi"/>
                <w:sz w:val="24"/>
                <w:szCs w:val="24"/>
              </w:rPr>
              <w:t xml:space="preserve">” </w:t>
            </w:r>
          </w:p>
        </w:tc>
        <w:tc>
          <w:tcPr>
            <w:tcW w:w="1890" w:type="dxa"/>
          </w:tcPr>
          <w:p w:rsidR="00C12096" w:rsidRDefault="0031018A"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All students </w:t>
            </w:r>
          </w:p>
        </w:tc>
        <w:tc>
          <w:tcPr>
            <w:tcW w:w="2160" w:type="dxa"/>
          </w:tcPr>
          <w:p w:rsidR="00C12096" w:rsidRDefault="0031018A"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Small groups </w:t>
            </w:r>
          </w:p>
        </w:tc>
      </w:tr>
      <w:tr w:rsidR="00C06D05" w:rsidTr="00216590">
        <w:tc>
          <w:tcPr>
            <w:tcW w:w="1803" w:type="dxa"/>
          </w:tcPr>
          <w:p w:rsidR="00C06D05" w:rsidRDefault="00C06D05"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Enrichment </w:t>
            </w:r>
          </w:p>
        </w:tc>
        <w:tc>
          <w:tcPr>
            <w:tcW w:w="1803" w:type="dxa"/>
          </w:tcPr>
          <w:p w:rsidR="00C06D05" w:rsidRDefault="005A42F5"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All subjects </w:t>
            </w:r>
          </w:p>
        </w:tc>
        <w:tc>
          <w:tcPr>
            <w:tcW w:w="2149" w:type="dxa"/>
          </w:tcPr>
          <w:p w:rsidR="00C06D05" w:rsidRDefault="005A42F5" w:rsidP="00F7254F">
            <w:pPr>
              <w:spacing w:line="480" w:lineRule="auto"/>
              <w:rPr>
                <w:rFonts w:asciiTheme="majorBidi" w:hAnsiTheme="majorBidi" w:cstheme="majorBidi"/>
                <w:sz w:val="24"/>
                <w:szCs w:val="24"/>
              </w:rPr>
            </w:pPr>
            <w:r>
              <w:rPr>
                <w:rFonts w:asciiTheme="majorBidi" w:hAnsiTheme="majorBidi" w:cstheme="majorBidi"/>
                <w:sz w:val="24"/>
                <w:szCs w:val="24"/>
              </w:rPr>
              <w:t xml:space="preserve">Enrichment strategy aims at </w:t>
            </w:r>
            <w:r>
              <w:rPr>
                <w:rFonts w:asciiTheme="majorBidi" w:hAnsiTheme="majorBidi" w:cstheme="majorBidi"/>
                <w:sz w:val="24"/>
                <w:szCs w:val="24"/>
              </w:rPr>
              <w:lastRenderedPageBreak/>
              <w:t xml:space="preserve">extending learning opportunities for students who are either quick learners or have mastered the content of the subject. The tutor must first use appropriate methods to identify skill level of the students. </w:t>
            </w:r>
            <w:r w:rsidR="006D1B0F">
              <w:rPr>
                <w:rFonts w:asciiTheme="majorBidi" w:hAnsiTheme="majorBidi" w:cstheme="majorBidi"/>
                <w:sz w:val="24"/>
                <w:szCs w:val="24"/>
              </w:rPr>
              <w:t xml:space="preserve">The next step is text selection where the teacher identify appropriate challenge for the learner’s level. </w:t>
            </w:r>
            <w:r w:rsidR="00034F84">
              <w:rPr>
                <w:rFonts w:asciiTheme="majorBidi" w:hAnsiTheme="majorBidi" w:cstheme="majorBidi"/>
                <w:sz w:val="24"/>
                <w:szCs w:val="24"/>
              </w:rPr>
              <w:t xml:space="preserve">Step three involves differentiating the learners into small groups based on their skill level. The teacher can then </w:t>
            </w:r>
            <w:r w:rsidR="00034F84">
              <w:rPr>
                <w:rFonts w:asciiTheme="majorBidi" w:hAnsiTheme="majorBidi" w:cstheme="majorBidi"/>
                <w:sz w:val="24"/>
                <w:szCs w:val="24"/>
              </w:rPr>
              <w:lastRenderedPageBreak/>
              <w:t xml:space="preserve">use various teaching methods to keep the students engaged. </w:t>
            </w:r>
          </w:p>
        </w:tc>
        <w:tc>
          <w:tcPr>
            <w:tcW w:w="1890" w:type="dxa"/>
          </w:tcPr>
          <w:p w:rsidR="00C06D05" w:rsidRDefault="005A42F5"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First learners</w:t>
            </w:r>
          </w:p>
        </w:tc>
        <w:tc>
          <w:tcPr>
            <w:tcW w:w="2160" w:type="dxa"/>
          </w:tcPr>
          <w:p w:rsidR="00C06D05" w:rsidRDefault="005A42F5"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Flexible grouping </w:t>
            </w:r>
          </w:p>
        </w:tc>
      </w:tr>
      <w:tr w:rsidR="00034F84" w:rsidTr="00216590">
        <w:tc>
          <w:tcPr>
            <w:tcW w:w="1803" w:type="dxa"/>
          </w:tcPr>
          <w:p w:rsidR="00034F84" w:rsidRDefault="00FE50CC" w:rsidP="00191362">
            <w:pPr>
              <w:spacing w:line="480" w:lineRule="auto"/>
              <w:rPr>
                <w:rFonts w:asciiTheme="majorBidi" w:hAnsiTheme="majorBidi" w:cstheme="majorBidi"/>
                <w:sz w:val="24"/>
                <w:szCs w:val="24"/>
              </w:rPr>
            </w:pPr>
            <w:r w:rsidRPr="00FE50CC">
              <w:rPr>
                <w:rFonts w:asciiTheme="majorBidi" w:hAnsiTheme="majorBidi" w:cstheme="majorBidi"/>
                <w:sz w:val="24"/>
                <w:szCs w:val="24"/>
              </w:rPr>
              <w:lastRenderedPageBreak/>
              <w:t xml:space="preserve"> Higher Order Questions</w:t>
            </w:r>
          </w:p>
        </w:tc>
        <w:tc>
          <w:tcPr>
            <w:tcW w:w="1803" w:type="dxa"/>
          </w:tcPr>
          <w:p w:rsidR="00034F84" w:rsidRDefault="00191362"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Science </w:t>
            </w:r>
          </w:p>
        </w:tc>
        <w:tc>
          <w:tcPr>
            <w:tcW w:w="2149" w:type="dxa"/>
          </w:tcPr>
          <w:p w:rsidR="00034F84" w:rsidRDefault="00191362" w:rsidP="00F7254F">
            <w:pPr>
              <w:spacing w:line="480" w:lineRule="auto"/>
              <w:rPr>
                <w:rFonts w:asciiTheme="majorBidi" w:hAnsiTheme="majorBidi" w:cstheme="majorBidi"/>
                <w:sz w:val="24"/>
                <w:szCs w:val="24"/>
              </w:rPr>
            </w:pPr>
            <w:r>
              <w:rPr>
                <w:rFonts w:asciiTheme="majorBidi" w:hAnsiTheme="majorBidi" w:cstheme="majorBidi"/>
                <w:sz w:val="24"/>
                <w:szCs w:val="24"/>
              </w:rPr>
              <w:t xml:space="preserve">Higher Order Question strategy is essential when the teacher wants to cognitive ability of the students. The approach requires the students to reason out to respond to the questions as opposed to recollecting information verbatim. The approach can be used to test students understanding the application of the topic. A tutor can adopt this approach </w:t>
            </w:r>
            <w:r>
              <w:rPr>
                <w:rFonts w:asciiTheme="majorBidi" w:hAnsiTheme="majorBidi" w:cstheme="majorBidi"/>
                <w:sz w:val="24"/>
                <w:szCs w:val="24"/>
              </w:rPr>
              <w:lastRenderedPageBreak/>
              <w:t xml:space="preserve">in testing students at the end of each topic. </w:t>
            </w:r>
          </w:p>
        </w:tc>
        <w:tc>
          <w:tcPr>
            <w:tcW w:w="1890" w:type="dxa"/>
          </w:tcPr>
          <w:p w:rsidR="00034F84" w:rsidRDefault="00191362"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All students</w:t>
            </w:r>
          </w:p>
        </w:tc>
        <w:tc>
          <w:tcPr>
            <w:tcW w:w="2160" w:type="dxa"/>
          </w:tcPr>
          <w:p w:rsidR="00034F84" w:rsidRDefault="00191362"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Whole group in normal class setting </w:t>
            </w:r>
          </w:p>
        </w:tc>
      </w:tr>
      <w:tr w:rsidR="004F01B8" w:rsidTr="00216590">
        <w:tc>
          <w:tcPr>
            <w:tcW w:w="1803" w:type="dxa"/>
          </w:tcPr>
          <w:p w:rsidR="004F01B8" w:rsidRPr="00FE50CC" w:rsidRDefault="00C13F35" w:rsidP="00191362">
            <w:pPr>
              <w:spacing w:line="480" w:lineRule="auto"/>
              <w:rPr>
                <w:rFonts w:asciiTheme="majorBidi" w:hAnsiTheme="majorBidi" w:cstheme="majorBidi"/>
                <w:sz w:val="24"/>
                <w:szCs w:val="24"/>
              </w:rPr>
            </w:pPr>
            <w:r>
              <w:rPr>
                <w:rFonts w:asciiTheme="majorBidi" w:hAnsiTheme="majorBidi" w:cstheme="majorBidi"/>
                <w:sz w:val="24"/>
                <w:szCs w:val="24"/>
              </w:rPr>
              <w:t xml:space="preserve">Grouping Options </w:t>
            </w:r>
          </w:p>
        </w:tc>
        <w:tc>
          <w:tcPr>
            <w:tcW w:w="1803" w:type="dxa"/>
          </w:tcPr>
          <w:p w:rsidR="004F01B8" w:rsidRDefault="00690BA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Al subjects</w:t>
            </w:r>
          </w:p>
        </w:tc>
        <w:tc>
          <w:tcPr>
            <w:tcW w:w="2149" w:type="dxa"/>
          </w:tcPr>
          <w:p w:rsidR="004F01B8" w:rsidRDefault="00690BA0" w:rsidP="00F7254F">
            <w:pPr>
              <w:spacing w:line="480" w:lineRule="auto"/>
              <w:rPr>
                <w:rFonts w:asciiTheme="majorBidi" w:hAnsiTheme="majorBidi" w:cstheme="majorBidi"/>
                <w:sz w:val="24"/>
                <w:szCs w:val="24"/>
              </w:rPr>
            </w:pPr>
            <w:r>
              <w:rPr>
                <w:rFonts w:asciiTheme="majorBidi" w:hAnsiTheme="majorBidi" w:cstheme="majorBidi"/>
                <w:sz w:val="24"/>
                <w:szCs w:val="24"/>
              </w:rPr>
              <w:t>Grouping strategy is used by teachers to enhance discussions and sharing of ideas among learners</w:t>
            </w:r>
            <w:sdt>
              <w:sdtPr>
                <w:rPr>
                  <w:rFonts w:asciiTheme="majorBidi" w:hAnsiTheme="majorBidi" w:cstheme="majorBidi"/>
                  <w:sz w:val="24"/>
                  <w:szCs w:val="24"/>
                </w:rPr>
                <w:id w:val="1622644424"/>
                <w:citation/>
              </w:sdtPr>
              <w:sdtContent>
                <w:r w:rsidR="00666E52">
                  <w:rPr>
                    <w:rFonts w:asciiTheme="majorBidi" w:hAnsiTheme="majorBidi" w:cstheme="majorBidi"/>
                    <w:sz w:val="24"/>
                    <w:szCs w:val="24"/>
                  </w:rPr>
                  <w:fldChar w:fldCharType="begin"/>
                </w:r>
                <w:r w:rsidR="00666E52">
                  <w:rPr>
                    <w:rFonts w:asciiTheme="majorBidi" w:hAnsiTheme="majorBidi" w:cstheme="majorBidi"/>
                    <w:sz w:val="24"/>
                    <w:szCs w:val="24"/>
                  </w:rPr>
                  <w:instrText xml:space="preserve"> CITATION Wes18 \l 1033 </w:instrText>
                </w:r>
                <w:r w:rsidR="00666E52">
                  <w:rPr>
                    <w:rFonts w:asciiTheme="majorBidi" w:hAnsiTheme="majorBidi" w:cstheme="majorBidi"/>
                    <w:sz w:val="24"/>
                    <w:szCs w:val="24"/>
                  </w:rPr>
                  <w:fldChar w:fldCharType="separate"/>
                </w:r>
                <w:r w:rsidR="00666E52">
                  <w:rPr>
                    <w:rFonts w:asciiTheme="majorBidi" w:hAnsiTheme="majorBidi" w:cstheme="majorBidi"/>
                    <w:noProof/>
                    <w:sz w:val="24"/>
                    <w:szCs w:val="24"/>
                  </w:rPr>
                  <w:t xml:space="preserve"> </w:t>
                </w:r>
                <w:r w:rsidR="00666E52" w:rsidRPr="00666E52">
                  <w:rPr>
                    <w:rFonts w:asciiTheme="majorBidi" w:hAnsiTheme="majorBidi" w:cstheme="majorBidi"/>
                    <w:noProof/>
                    <w:sz w:val="24"/>
                    <w:szCs w:val="24"/>
                  </w:rPr>
                  <w:t>(Westwood, 2018)</w:t>
                </w:r>
                <w:r w:rsidR="00666E52">
                  <w:rPr>
                    <w:rFonts w:asciiTheme="majorBidi" w:hAnsiTheme="majorBidi" w:cstheme="majorBidi"/>
                    <w:sz w:val="24"/>
                    <w:szCs w:val="24"/>
                  </w:rPr>
                  <w:fldChar w:fldCharType="end"/>
                </w:r>
              </w:sdtContent>
            </w:sdt>
            <w:r>
              <w:rPr>
                <w:rFonts w:asciiTheme="majorBidi" w:hAnsiTheme="majorBidi" w:cstheme="majorBidi"/>
                <w:sz w:val="24"/>
                <w:szCs w:val="24"/>
              </w:rPr>
              <w:t xml:space="preserve">. Tutors can adopt various types of groups depending on the nature of the tasks at hand and intended objective. For instance, cooperative groups bring together learners with diverse ability. On the other hand, group investigation comprises of five or six members </w:t>
            </w:r>
            <w:r>
              <w:rPr>
                <w:rFonts w:asciiTheme="majorBidi" w:hAnsiTheme="majorBidi" w:cstheme="majorBidi"/>
                <w:sz w:val="24"/>
                <w:szCs w:val="24"/>
              </w:rPr>
              <w:lastRenderedPageBreak/>
              <w:t>assigned specific topic.</w:t>
            </w:r>
          </w:p>
        </w:tc>
        <w:tc>
          <w:tcPr>
            <w:tcW w:w="1890" w:type="dxa"/>
          </w:tcPr>
          <w:p w:rsidR="004F01B8" w:rsidRDefault="00690BA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All students </w:t>
            </w:r>
          </w:p>
        </w:tc>
        <w:tc>
          <w:tcPr>
            <w:tcW w:w="2160" w:type="dxa"/>
          </w:tcPr>
          <w:p w:rsidR="004F01B8" w:rsidRDefault="00690BA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Whole group </w:t>
            </w:r>
          </w:p>
        </w:tc>
      </w:tr>
      <w:tr w:rsidR="00690BA0" w:rsidTr="00216590">
        <w:tc>
          <w:tcPr>
            <w:tcW w:w="1803" w:type="dxa"/>
          </w:tcPr>
          <w:p w:rsidR="00690BA0" w:rsidRDefault="00C75E13" w:rsidP="00191362">
            <w:pPr>
              <w:spacing w:line="480" w:lineRule="auto"/>
              <w:rPr>
                <w:rFonts w:asciiTheme="majorBidi" w:hAnsiTheme="majorBidi" w:cstheme="majorBidi"/>
                <w:sz w:val="24"/>
                <w:szCs w:val="24"/>
              </w:rPr>
            </w:pPr>
            <w:r>
              <w:rPr>
                <w:rFonts w:asciiTheme="majorBidi" w:hAnsiTheme="majorBidi" w:cstheme="majorBidi"/>
                <w:sz w:val="24"/>
                <w:szCs w:val="24"/>
              </w:rPr>
              <w:t>Jigsaw strategy</w:t>
            </w:r>
          </w:p>
        </w:tc>
        <w:tc>
          <w:tcPr>
            <w:tcW w:w="1803" w:type="dxa"/>
          </w:tcPr>
          <w:p w:rsidR="00690BA0" w:rsidRDefault="00C808AD"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All subjects </w:t>
            </w:r>
            <w:r w:rsidR="00C75E13">
              <w:rPr>
                <w:rFonts w:asciiTheme="majorBidi" w:hAnsiTheme="majorBidi" w:cstheme="majorBidi"/>
                <w:sz w:val="24"/>
                <w:szCs w:val="24"/>
              </w:rPr>
              <w:t xml:space="preserve"> </w:t>
            </w:r>
          </w:p>
        </w:tc>
        <w:tc>
          <w:tcPr>
            <w:tcW w:w="2149" w:type="dxa"/>
          </w:tcPr>
          <w:p w:rsidR="00690BA0" w:rsidRDefault="00C75E13" w:rsidP="00F7254F">
            <w:pPr>
              <w:spacing w:line="480" w:lineRule="auto"/>
              <w:rPr>
                <w:rFonts w:asciiTheme="majorBidi" w:hAnsiTheme="majorBidi" w:cstheme="majorBidi"/>
                <w:sz w:val="24"/>
                <w:szCs w:val="24"/>
              </w:rPr>
            </w:pPr>
            <w:r>
              <w:rPr>
                <w:rFonts w:asciiTheme="majorBidi" w:hAnsiTheme="majorBidi" w:cstheme="majorBidi"/>
                <w:sz w:val="24"/>
                <w:szCs w:val="24"/>
              </w:rPr>
              <w:t>Jigsaw approach to teaching aims at enhancing cooperation among learners. The tutor encourages students to do their assignments as group in class. It starts by the teacher dividing the class into small groups. Every student in each group is assigned a task to undertake then later share his or her findings with group peers. One advantage of this approach is it encourages peer-to-peer learning</w:t>
            </w:r>
            <w:sdt>
              <w:sdtPr>
                <w:rPr>
                  <w:rFonts w:asciiTheme="majorBidi" w:hAnsiTheme="majorBidi" w:cstheme="majorBidi"/>
                  <w:sz w:val="24"/>
                  <w:szCs w:val="24"/>
                </w:rPr>
                <w:id w:val="-1307473501"/>
                <w:citation/>
              </w:sdtPr>
              <w:sdtContent>
                <w:r w:rsidR="00666E52">
                  <w:rPr>
                    <w:rFonts w:asciiTheme="majorBidi" w:hAnsiTheme="majorBidi" w:cstheme="majorBidi"/>
                    <w:sz w:val="24"/>
                    <w:szCs w:val="24"/>
                  </w:rPr>
                  <w:fldChar w:fldCharType="begin"/>
                </w:r>
                <w:r w:rsidR="00666E52">
                  <w:rPr>
                    <w:rFonts w:asciiTheme="majorBidi" w:hAnsiTheme="majorBidi" w:cstheme="majorBidi"/>
                    <w:sz w:val="24"/>
                    <w:szCs w:val="24"/>
                  </w:rPr>
                  <w:instrText xml:space="preserve"> CITATION Sou16 \l 1033 </w:instrText>
                </w:r>
                <w:r w:rsidR="00666E52">
                  <w:rPr>
                    <w:rFonts w:asciiTheme="majorBidi" w:hAnsiTheme="majorBidi" w:cstheme="majorBidi"/>
                    <w:sz w:val="24"/>
                    <w:szCs w:val="24"/>
                  </w:rPr>
                  <w:fldChar w:fldCharType="separate"/>
                </w:r>
                <w:r w:rsidR="00666E52">
                  <w:rPr>
                    <w:rFonts w:asciiTheme="majorBidi" w:hAnsiTheme="majorBidi" w:cstheme="majorBidi"/>
                    <w:noProof/>
                    <w:sz w:val="24"/>
                    <w:szCs w:val="24"/>
                  </w:rPr>
                  <w:t xml:space="preserve"> </w:t>
                </w:r>
                <w:r w:rsidR="00666E52" w:rsidRPr="00666E52">
                  <w:rPr>
                    <w:rFonts w:asciiTheme="majorBidi" w:hAnsiTheme="majorBidi" w:cstheme="majorBidi"/>
                    <w:noProof/>
                    <w:sz w:val="24"/>
                    <w:szCs w:val="24"/>
                  </w:rPr>
                  <w:lastRenderedPageBreak/>
                  <w:t>(Souto-Manning, Mariana, &amp; Martell., 2016)</w:t>
                </w:r>
                <w:r w:rsidR="00666E52">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p>
        </w:tc>
        <w:tc>
          <w:tcPr>
            <w:tcW w:w="1890" w:type="dxa"/>
          </w:tcPr>
          <w:p w:rsidR="00690BA0" w:rsidRDefault="00C808AD"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All students </w:t>
            </w:r>
          </w:p>
        </w:tc>
        <w:tc>
          <w:tcPr>
            <w:tcW w:w="2160" w:type="dxa"/>
          </w:tcPr>
          <w:p w:rsidR="00690BA0" w:rsidRDefault="00690BA0"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Small groups </w:t>
            </w:r>
          </w:p>
        </w:tc>
      </w:tr>
      <w:tr w:rsidR="00C808AD" w:rsidTr="00216590">
        <w:tc>
          <w:tcPr>
            <w:tcW w:w="1803" w:type="dxa"/>
          </w:tcPr>
          <w:p w:rsidR="00C808AD" w:rsidRDefault="00C25D0F" w:rsidP="00191362">
            <w:pPr>
              <w:spacing w:line="480" w:lineRule="auto"/>
              <w:rPr>
                <w:rFonts w:asciiTheme="majorBidi" w:hAnsiTheme="majorBidi" w:cstheme="majorBidi"/>
                <w:sz w:val="24"/>
                <w:szCs w:val="24"/>
              </w:rPr>
            </w:pPr>
            <w:r>
              <w:rPr>
                <w:rFonts w:asciiTheme="majorBidi" w:hAnsiTheme="majorBidi" w:cstheme="majorBidi"/>
                <w:sz w:val="24"/>
                <w:szCs w:val="24"/>
              </w:rPr>
              <w:t xml:space="preserve">Flexible grouping </w:t>
            </w:r>
          </w:p>
        </w:tc>
        <w:tc>
          <w:tcPr>
            <w:tcW w:w="1803" w:type="dxa"/>
          </w:tcPr>
          <w:p w:rsidR="00C808AD" w:rsidRDefault="00C25D0F"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All subjects </w:t>
            </w:r>
          </w:p>
        </w:tc>
        <w:tc>
          <w:tcPr>
            <w:tcW w:w="2149" w:type="dxa"/>
          </w:tcPr>
          <w:p w:rsidR="00C808AD" w:rsidRDefault="00C25D0F" w:rsidP="00AE2EBF">
            <w:pPr>
              <w:spacing w:line="480" w:lineRule="auto"/>
              <w:rPr>
                <w:rFonts w:asciiTheme="majorBidi" w:hAnsiTheme="majorBidi" w:cstheme="majorBidi"/>
                <w:sz w:val="24"/>
                <w:szCs w:val="24"/>
              </w:rPr>
            </w:pPr>
            <w:r>
              <w:rPr>
                <w:rFonts w:asciiTheme="majorBidi" w:hAnsiTheme="majorBidi" w:cstheme="majorBidi"/>
                <w:sz w:val="24"/>
                <w:szCs w:val="24"/>
              </w:rPr>
              <w:t xml:space="preserve">Flexible grouping approach is designed to achieve various objective in learning. For instance, a tutor can classify students based on their cognitive ability at the beginning of the year to improve quality of teaching. It is easier to teach students with similar abilities. Flexible groups are changed often to achieve maximum result. </w:t>
            </w:r>
          </w:p>
        </w:tc>
        <w:tc>
          <w:tcPr>
            <w:tcW w:w="1890" w:type="dxa"/>
          </w:tcPr>
          <w:p w:rsidR="00C808AD" w:rsidRDefault="00C25D0F"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All students </w:t>
            </w:r>
          </w:p>
        </w:tc>
        <w:tc>
          <w:tcPr>
            <w:tcW w:w="2160" w:type="dxa"/>
          </w:tcPr>
          <w:p w:rsidR="00C808AD" w:rsidRDefault="00C25D0F"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Small groups </w:t>
            </w:r>
          </w:p>
        </w:tc>
      </w:tr>
    </w:tbl>
    <w:p w:rsidR="00204274" w:rsidRDefault="00204274" w:rsidP="00513A19">
      <w:pPr>
        <w:spacing w:line="480" w:lineRule="auto"/>
        <w:jc w:val="center"/>
        <w:rPr>
          <w:rFonts w:asciiTheme="majorBidi" w:hAnsiTheme="majorBidi" w:cstheme="majorBidi"/>
          <w:sz w:val="24"/>
          <w:szCs w:val="24"/>
        </w:rPr>
      </w:pPr>
    </w:p>
    <w:p w:rsidR="00133F86" w:rsidRDefault="00133F86" w:rsidP="00513A19">
      <w:pPr>
        <w:spacing w:line="480" w:lineRule="auto"/>
        <w:jc w:val="center"/>
        <w:rPr>
          <w:rFonts w:asciiTheme="majorBidi" w:hAnsiTheme="majorBidi" w:cstheme="majorBidi"/>
          <w:sz w:val="24"/>
          <w:szCs w:val="24"/>
        </w:rPr>
      </w:pPr>
    </w:p>
    <w:p w:rsidR="00133F86" w:rsidRDefault="00133F86" w:rsidP="00513A19">
      <w:pPr>
        <w:spacing w:line="480" w:lineRule="auto"/>
        <w:jc w:val="center"/>
        <w:rPr>
          <w:rFonts w:asciiTheme="majorBidi" w:hAnsiTheme="majorBidi" w:cstheme="majorBidi"/>
          <w:sz w:val="24"/>
          <w:szCs w:val="24"/>
        </w:rPr>
      </w:pPr>
    </w:p>
    <w:p w:rsidR="00133F86" w:rsidRDefault="00133F86" w:rsidP="00513A19">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References</w:t>
      </w:r>
    </w:p>
    <w:p w:rsidR="00133F86" w:rsidRDefault="00133F86" w:rsidP="00133F86">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Souto-Manning, Mariana, &amp; Martell., J. (2016). </w:t>
      </w:r>
      <w:r>
        <w:rPr>
          <w:i/>
          <w:iCs/>
          <w:noProof/>
        </w:rPr>
        <w:t>Reading, writing, and talk: Inclusive teaching strategies for diverse learners, K–2.</w:t>
      </w:r>
      <w:r>
        <w:rPr>
          <w:noProof/>
        </w:rPr>
        <w:t xml:space="preserve"> Teachers College Press.</w:t>
      </w:r>
    </w:p>
    <w:p w:rsidR="00133F86" w:rsidRDefault="00133F86" w:rsidP="00133F86">
      <w:pPr>
        <w:pStyle w:val="Bibliography"/>
        <w:ind w:left="720" w:hanging="720"/>
        <w:rPr>
          <w:noProof/>
        </w:rPr>
      </w:pPr>
      <w:r>
        <w:rPr>
          <w:noProof/>
        </w:rPr>
        <w:t xml:space="preserve">Westwood, P. (2018). </w:t>
      </w:r>
      <w:r>
        <w:rPr>
          <w:i/>
          <w:iCs/>
          <w:noProof/>
        </w:rPr>
        <w:t>nclusive and adaptive teaching: Meeting the challenge of diversity in the classroom.</w:t>
      </w:r>
      <w:r>
        <w:rPr>
          <w:noProof/>
        </w:rPr>
        <w:t xml:space="preserve"> Routledge.</w:t>
      </w:r>
    </w:p>
    <w:p w:rsidR="00133F86" w:rsidRPr="00513A19" w:rsidRDefault="00133F86" w:rsidP="00133F86">
      <w:pPr>
        <w:spacing w:line="480" w:lineRule="auto"/>
        <w:rPr>
          <w:rFonts w:asciiTheme="majorBidi" w:hAnsiTheme="majorBidi" w:cstheme="majorBidi"/>
          <w:sz w:val="24"/>
          <w:szCs w:val="24"/>
        </w:rPr>
      </w:pPr>
      <w:r>
        <w:rPr>
          <w:rFonts w:asciiTheme="majorBidi" w:hAnsiTheme="majorBidi" w:cstheme="majorBidi"/>
          <w:sz w:val="24"/>
          <w:szCs w:val="24"/>
        </w:rPr>
        <w:fldChar w:fldCharType="end"/>
      </w:r>
      <w:bookmarkStart w:id="0" w:name="_GoBack"/>
      <w:bookmarkEnd w:id="0"/>
    </w:p>
    <w:sectPr w:rsidR="00133F86" w:rsidRPr="00513A19" w:rsidSect="00513A1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C9E" w:rsidRDefault="00902C9E" w:rsidP="00513A19">
      <w:pPr>
        <w:spacing w:after="0" w:line="240" w:lineRule="auto"/>
      </w:pPr>
      <w:r>
        <w:separator/>
      </w:r>
    </w:p>
  </w:endnote>
  <w:endnote w:type="continuationSeparator" w:id="0">
    <w:p w:rsidR="00902C9E" w:rsidRDefault="00902C9E" w:rsidP="00513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C9E" w:rsidRDefault="00902C9E" w:rsidP="00513A19">
      <w:pPr>
        <w:spacing w:after="0" w:line="240" w:lineRule="auto"/>
      </w:pPr>
      <w:r>
        <w:separator/>
      </w:r>
    </w:p>
  </w:footnote>
  <w:footnote w:type="continuationSeparator" w:id="0">
    <w:p w:rsidR="00902C9E" w:rsidRDefault="00902C9E" w:rsidP="00513A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A19" w:rsidRPr="00513A19" w:rsidRDefault="00513A19">
    <w:pPr>
      <w:pStyle w:val="Header"/>
      <w:rPr>
        <w:rFonts w:asciiTheme="majorBidi" w:hAnsiTheme="majorBidi" w:cstheme="majorBidi"/>
        <w:sz w:val="24"/>
        <w:szCs w:val="24"/>
      </w:rPr>
    </w:pPr>
    <w:r>
      <w:rPr>
        <w:rFonts w:asciiTheme="majorBidi" w:hAnsiTheme="majorBidi" w:cstheme="majorBidi"/>
        <w:sz w:val="24"/>
        <w:szCs w:val="24"/>
      </w:rPr>
      <w:t xml:space="preserve">Differentiation Strategy </w:t>
    </w:r>
    <w:r>
      <w:rPr>
        <w:rFonts w:asciiTheme="majorBidi" w:hAnsiTheme="majorBidi" w:cstheme="majorBidi"/>
        <w:sz w:val="24"/>
        <w:szCs w:val="24"/>
      </w:rPr>
      <w:tab/>
    </w:r>
    <w:r>
      <w:rPr>
        <w:rFonts w:asciiTheme="majorBidi" w:hAnsiTheme="majorBidi" w:cstheme="majorBidi"/>
        <w:sz w:val="24"/>
        <w:szCs w:val="24"/>
      </w:rPr>
      <w:tab/>
    </w:r>
    <w:r w:rsidRPr="00513A19">
      <w:rPr>
        <w:rFonts w:asciiTheme="majorBidi" w:hAnsiTheme="majorBidi" w:cstheme="majorBidi"/>
        <w:sz w:val="24"/>
        <w:szCs w:val="24"/>
      </w:rPr>
      <w:fldChar w:fldCharType="begin"/>
    </w:r>
    <w:r w:rsidRPr="00513A19">
      <w:rPr>
        <w:rFonts w:asciiTheme="majorBidi" w:hAnsiTheme="majorBidi" w:cstheme="majorBidi"/>
        <w:sz w:val="24"/>
        <w:szCs w:val="24"/>
      </w:rPr>
      <w:instrText xml:space="preserve"> PAGE   \* MERGEFORMAT </w:instrText>
    </w:r>
    <w:r w:rsidRPr="00513A19">
      <w:rPr>
        <w:rFonts w:asciiTheme="majorBidi" w:hAnsiTheme="majorBidi" w:cstheme="majorBidi"/>
        <w:sz w:val="24"/>
        <w:szCs w:val="24"/>
      </w:rPr>
      <w:fldChar w:fldCharType="separate"/>
    </w:r>
    <w:r w:rsidR="00133F86">
      <w:rPr>
        <w:rFonts w:asciiTheme="majorBidi" w:hAnsiTheme="majorBidi" w:cstheme="majorBidi"/>
        <w:noProof/>
        <w:sz w:val="24"/>
        <w:szCs w:val="24"/>
      </w:rPr>
      <w:t>13</w:t>
    </w:r>
    <w:r w:rsidRPr="00513A19">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A19" w:rsidRPr="00513A19" w:rsidRDefault="00513A19">
    <w:pPr>
      <w:pStyle w:val="Header"/>
      <w:rPr>
        <w:rFonts w:asciiTheme="majorBidi" w:hAnsiTheme="majorBidi" w:cstheme="majorBidi"/>
        <w:sz w:val="24"/>
        <w:szCs w:val="24"/>
      </w:rPr>
    </w:pPr>
    <w:r>
      <w:rPr>
        <w:rFonts w:asciiTheme="majorBidi" w:hAnsiTheme="majorBidi" w:cstheme="majorBidi"/>
        <w:sz w:val="24"/>
        <w:szCs w:val="24"/>
      </w:rPr>
      <w:t xml:space="preserve">Running Head: Differentiation Strategy </w:t>
    </w:r>
    <w:r>
      <w:rPr>
        <w:rFonts w:asciiTheme="majorBidi" w:hAnsiTheme="majorBidi" w:cstheme="majorBidi"/>
        <w:sz w:val="24"/>
        <w:szCs w:val="24"/>
      </w:rPr>
      <w:tab/>
    </w:r>
    <w:r>
      <w:rPr>
        <w:rFonts w:asciiTheme="majorBidi" w:hAnsiTheme="majorBidi" w:cstheme="majorBidi"/>
        <w:sz w:val="24"/>
        <w:szCs w:val="24"/>
      </w:rPr>
      <w:tab/>
    </w:r>
    <w:r w:rsidRPr="00513A19">
      <w:rPr>
        <w:rFonts w:asciiTheme="majorBidi" w:hAnsiTheme="majorBidi" w:cstheme="majorBidi"/>
        <w:sz w:val="24"/>
        <w:szCs w:val="24"/>
      </w:rPr>
      <w:fldChar w:fldCharType="begin"/>
    </w:r>
    <w:r w:rsidRPr="00513A19">
      <w:rPr>
        <w:rFonts w:asciiTheme="majorBidi" w:hAnsiTheme="majorBidi" w:cstheme="majorBidi"/>
        <w:sz w:val="24"/>
        <w:szCs w:val="24"/>
      </w:rPr>
      <w:instrText xml:space="preserve"> PAGE   \* MERGEFORMAT </w:instrText>
    </w:r>
    <w:r w:rsidRPr="00513A19">
      <w:rPr>
        <w:rFonts w:asciiTheme="majorBidi" w:hAnsiTheme="majorBidi" w:cstheme="majorBidi"/>
        <w:sz w:val="24"/>
        <w:szCs w:val="24"/>
      </w:rPr>
      <w:fldChar w:fldCharType="separate"/>
    </w:r>
    <w:r w:rsidR="00666E52">
      <w:rPr>
        <w:rFonts w:asciiTheme="majorBidi" w:hAnsiTheme="majorBidi" w:cstheme="majorBidi"/>
        <w:noProof/>
        <w:sz w:val="24"/>
        <w:szCs w:val="24"/>
      </w:rPr>
      <w:t>1</w:t>
    </w:r>
    <w:r w:rsidRPr="00513A19">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19"/>
    <w:rsid w:val="00034F84"/>
    <w:rsid w:val="000B51C5"/>
    <w:rsid w:val="000E1E28"/>
    <w:rsid w:val="00133F86"/>
    <w:rsid w:val="00191362"/>
    <w:rsid w:val="00204274"/>
    <w:rsid w:val="00216590"/>
    <w:rsid w:val="00223663"/>
    <w:rsid w:val="0028203F"/>
    <w:rsid w:val="0031018A"/>
    <w:rsid w:val="0039754C"/>
    <w:rsid w:val="003E53E7"/>
    <w:rsid w:val="004F01B8"/>
    <w:rsid w:val="00513A19"/>
    <w:rsid w:val="00540467"/>
    <w:rsid w:val="005A42F5"/>
    <w:rsid w:val="005C51AD"/>
    <w:rsid w:val="005F7905"/>
    <w:rsid w:val="00612B0E"/>
    <w:rsid w:val="00615345"/>
    <w:rsid w:val="00666E52"/>
    <w:rsid w:val="00690BA0"/>
    <w:rsid w:val="00694634"/>
    <w:rsid w:val="006D1B0F"/>
    <w:rsid w:val="0081245F"/>
    <w:rsid w:val="00875941"/>
    <w:rsid w:val="00902C9E"/>
    <w:rsid w:val="00AC6C06"/>
    <w:rsid w:val="00AE2EBF"/>
    <w:rsid w:val="00AF04B7"/>
    <w:rsid w:val="00B2147F"/>
    <w:rsid w:val="00BB3F56"/>
    <w:rsid w:val="00C06D05"/>
    <w:rsid w:val="00C12096"/>
    <w:rsid w:val="00C13F35"/>
    <w:rsid w:val="00C17503"/>
    <w:rsid w:val="00C25D0F"/>
    <w:rsid w:val="00C75E13"/>
    <w:rsid w:val="00C808AD"/>
    <w:rsid w:val="00D079F8"/>
    <w:rsid w:val="00D36BD2"/>
    <w:rsid w:val="00F148E0"/>
    <w:rsid w:val="00F7254F"/>
    <w:rsid w:val="00FE50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CA8D7-880F-403D-9A9E-50381C482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A19"/>
    <w:rPr>
      <w:lang w:val="en-US"/>
    </w:rPr>
  </w:style>
  <w:style w:type="paragraph" w:styleId="Footer">
    <w:name w:val="footer"/>
    <w:basedOn w:val="Normal"/>
    <w:link w:val="FooterChar"/>
    <w:uiPriority w:val="99"/>
    <w:unhideWhenUsed/>
    <w:rsid w:val="00513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A19"/>
    <w:rPr>
      <w:lang w:val="en-US"/>
    </w:rPr>
  </w:style>
  <w:style w:type="table" w:styleId="TableGrid">
    <w:name w:val="Table Grid"/>
    <w:basedOn w:val="TableNormal"/>
    <w:uiPriority w:val="39"/>
    <w:rsid w:val="00C12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33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420085">
      <w:bodyDiv w:val="1"/>
      <w:marLeft w:val="0"/>
      <w:marRight w:val="0"/>
      <w:marTop w:val="0"/>
      <w:marBottom w:val="0"/>
      <w:divBdr>
        <w:top w:val="none" w:sz="0" w:space="0" w:color="auto"/>
        <w:left w:val="none" w:sz="0" w:space="0" w:color="auto"/>
        <w:bottom w:val="none" w:sz="0" w:space="0" w:color="auto"/>
        <w:right w:val="none" w:sz="0" w:space="0" w:color="auto"/>
      </w:divBdr>
    </w:div>
    <w:div w:id="706177495">
      <w:bodyDiv w:val="1"/>
      <w:marLeft w:val="0"/>
      <w:marRight w:val="0"/>
      <w:marTop w:val="0"/>
      <w:marBottom w:val="0"/>
      <w:divBdr>
        <w:top w:val="none" w:sz="0" w:space="0" w:color="auto"/>
        <w:left w:val="none" w:sz="0" w:space="0" w:color="auto"/>
        <w:bottom w:val="none" w:sz="0" w:space="0" w:color="auto"/>
        <w:right w:val="none" w:sz="0" w:space="0" w:color="auto"/>
      </w:divBdr>
    </w:div>
    <w:div w:id="877351547">
      <w:bodyDiv w:val="1"/>
      <w:marLeft w:val="0"/>
      <w:marRight w:val="0"/>
      <w:marTop w:val="0"/>
      <w:marBottom w:val="0"/>
      <w:divBdr>
        <w:top w:val="none" w:sz="0" w:space="0" w:color="auto"/>
        <w:left w:val="none" w:sz="0" w:space="0" w:color="auto"/>
        <w:bottom w:val="none" w:sz="0" w:space="0" w:color="auto"/>
        <w:right w:val="none" w:sz="0" w:space="0" w:color="auto"/>
      </w:divBdr>
    </w:div>
    <w:div w:id="1186021440">
      <w:bodyDiv w:val="1"/>
      <w:marLeft w:val="0"/>
      <w:marRight w:val="0"/>
      <w:marTop w:val="0"/>
      <w:marBottom w:val="0"/>
      <w:divBdr>
        <w:top w:val="none" w:sz="0" w:space="0" w:color="auto"/>
        <w:left w:val="none" w:sz="0" w:space="0" w:color="auto"/>
        <w:bottom w:val="none" w:sz="0" w:space="0" w:color="auto"/>
        <w:right w:val="none" w:sz="0" w:space="0" w:color="auto"/>
      </w:divBdr>
    </w:div>
    <w:div w:id="1319532526">
      <w:bodyDiv w:val="1"/>
      <w:marLeft w:val="0"/>
      <w:marRight w:val="0"/>
      <w:marTop w:val="0"/>
      <w:marBottom w:val="0"/>
      <w:divBdr>
        <w:top w:val="none" w:sz="0" w:space="0" w:color="auto"/>
        <w:left w:val="none" w:sz="0" w:space="0" w:color="auto"/>
        <w:bottom w:val="none" w:sz="0" w:space="0" w:color="auto"/>
        <w:right w:val="none" w:sz="0" w:space="0" w:color="auto"/>
      </w:divBdr>
    </w:div>
    <w:div w:id="1363747433">
      <w:bodyDiv w:val="1"/>
      <w:marLeft w:val="0"/>
      <w:marRight w:val="0"/>
      <w:marTop w:val="0"/>
      <w:marBottom w:val="0"/>
      <w:divBdr>
        <w:top w:val="none" w:sz="0" w:space="0" w:color="auto"/>
        <w:left w:val="none" w:sz="0" w:space="0" w:color="auto"/>
        <w:bottom w:val="none" w:sz="0" w:space="0" w:color="auto"/>
        <w:right w:val="none" w:sz="0" w:space="0" w:color="auto"/>
      </w:divBdr>
    </w:div>
    <w:div w:id="1607420481">
      <w:bodyDiv w:val="1"/>
      <w:marLeft w:val="0"/>
      <w:marRight w:val="0"/>
      <w:marTop w:val="0"/>
      <w:marBottom w:val="0"/>
      <w:divBdr>
        <w:top w:val="none" w:sz="0" w:space="0" w:color="auto"/>
        <w:left w:val="none" w:sz="0" w:space="0" w:color="auto"/>
        <w:bottom w:val="none" w:sz="0" w:space="0" w:color="auto"/>
        <w:right w:val="none" w:sz="0" w:space="0" w:color="auto"/>
      </w:divBdr>
    </w:div>
    <w:div w:id="1817332143">
      <w:bodyDiv w:val="1"/>
      <w:marLeft w:val="0"/>
      <w:marRight w:val="0"/>
      <w:marTop w:val="0"/>
      <w:marBottom w:val="0"/>
      <w:divBdr>
        <w:top w:val="none" w:sz="0" w:space="0" w:color="auto"/>
        <w:left w:val="none" w:sz="0" w:space="0" w:color="auto"/>
        <w:bottom w:val="none" w:sz="0" w:space="0" w:color="auto"/>
        <w:right w:val="none" w:sz="0" w:space="0" w:color="auto"/>
      </w:divBdr>
    </w:div>
    <w:div w:id="199356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Sou16</b:Tag>
    <b:SourceType>Book</b:SourceType>
    <b:Guid>{709AA84C-22A8-4982-8AFA-551907875F3F}</b:Guid>
    <b:Author>
      <b:Author>
        <b:NameList>
          <b:Person>
            <b:Last>Souto-Manning</b:Last>
          </b:Person>
          <b:Person>
            <b:Last>Mariana</b:Last>
          </b:Person>
          <b:Person>
            <b:Last>Martell.</b:Last>
            <b:First>Jessica</b:First>
          </b:Person>
        </b:NameList>
      </b:Author>
    </b:Author>
    <b:Title>Reading, writing, and talk: Inclusive teaching strategies for diverse learners, K–2</b:Title>
    <b:Year>2016</b:Year>
    <b:Publisher>Teachers College Press</b:Publisher>
    <b:RefOrder>1</b:RefOrder>
  </b:Source>
  <b:Source>
    <b:Tag>Wes18</b:Tag>
    <b:SourceType>Book</b:SourceType>
    <b:Guid>{73534686-69AE-44A7-A4D5-0C64DC7BFA96}</b:Guid>
    <b:Author>
      <b:Author>
        <b:NameList>
          <b:Person>
            <b:Last>Westwood</b:Last>
            <b:First>Peter</b:First>
          </b:Person>
        </b:NameList>
      </b:Author>
    </b:Author>
    <b:Title>nclusive and adaptive teaching: Meeting the challenge of diversity in the classroom</b:Title>
    <b:Year>2018</b:Year>
    <b:Publisher>Routledge</b:Publisher>
    <b:RefOrder>2</b:RefOrder>
  </b:Source>
</b:Sources>
</file>

<file path=customXml/itemProps1.xml><?xml version="1.0" encoding="utf-8"?>
<ds:datastoreItem xmlns:ds="http://schemas.openxmlformats.org/officeDocument/2006/customXml" ds:itemID="{58B85771-FEC5-43ED-B5A6-BF660B352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13</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24</cp:revision>
  <dcterms:created xsi:type="dcterms:W3CDTF">2019-08-11T19:51:00Z</dcterms:created>
  <dcterms:modified xsi:type="dcterms:W3CDTF">2019-08-12T00:36:00Z</dcterms:modified>
</cp:coreProperties>
</file>